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7A" w:rsidRDefault="00033C7A" w:rsidP="00033C7A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323E32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危险药品安全使用操作规程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在科研实验中涉及到的危险品包括易燃品、氧化剂、毒害品和腐蚀品。为确保师生人身安全和实验顺利进行，在实验过程中，必须做到：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一、酸、碱具有腐蚀性，不要把它们洒在皮肤或衣物上。稀释浓硫酸时，切忌将水倾入浓硫酸中，以免喷出伤人。废酸废碱应倒入专用回收桶中。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二、强氧化剂（如氯酸钾）与某些药品的混合物（如氯酸钾与红磷的混合物）易发生爆炸，使用和保存时，应注意安全。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三、白磷有剧毒，并能烧伤皮肤，切勿与人体接触；它在空气中能自燃，应保存在水中，取用时要用镊子。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四、有机溶剂（乙醚、乙醇、苯、丙酮等）易燃，使用时一定要远离火源，用后应把瓶塞盖严，放到防火、阴凉的地方。使用后废液倒入专用回收桶。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五、钡盐有毒（硫酸钡除外），不得进入口内或接触身体伤口；</w:t>
      </w:r>
      <w:proofErr w:type="gramStart"/>
      <w:r>
        <w:rPr>
          <w:rFonts w:cs="宋体" w:hint="eastAsia"/>
          <w:color w:val="000000"/>
          <w:kern w:val="0"/>
          <w:sz w:val="28"/>
          <w:szCs w:val="28"/>
        </w:rPr>
        <w:t>汞易挥发</w:t>
      </w:r>
      <w:proofErr w:type="gramEnd"/>
      <w:r>
        <w:rPr>
          <w:rFonts w:cs="宋体" w:hint="eastAsia"/>
          <w:color w:val="000000"/>
          <w:kern w:val="0"/>
          <w:sz w:val="28"/>
          <w:szCs w:val="28"/>
        </w:rPr>
        <w:t>，它在人体内会积累起来，引起慢性中毒。</w:t>
      </w:r>
      <w:proofErr w:type="gramStart"/>
      <w:r>
        <w:rPr>
          <w:rFonts w:cs="宋体" w:hint="eastAsia"/>
          <w:color w:val="000000"/>
          <w:kern w:val="0"/>
          <w:sz w:val="28"/>
          <w:szCs w:val="28"/>
        </w:rPr>
        <w:t>如遇汞洒落</w:t>
      </w:r>
      <w:proofErr w:type="gramEnd"/>
      <w:r>
        <w:rPr>
          <w:rFonts w:cs="宋体" w:hint="eastAsia"/>
          <w:color w:val="000000"/>
          <w:kern w:val="0"/>
          <w:sz w:val="28"/>
          <w:szCs w:val="28"/>
        </w:rPr>
        <w:t>时，须尽可能地收集起来，并用硫磺粉盖在洒落的地方，使汞变为硫化汞。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六、硝酸盐要轻拿轻放，不能研磨，否则会引起爆炸。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七、金属钾、钠等不要与水接触或暴露在空气中，应保存在煤油里，并在煤油内切割。取用时，要用镊子。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八、下列实验应在通风橱内进行：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cs="宋体" w:hint="eastAsia"/>
          <w:color w:val="000000"/>
          <w:kern w:val="0"/>
          <w:sz w:val="28"/>
          <w:szCs w:val="28"/>
        </w:rPr>
        <w:t>）制取具有刺激性的、恶臭的和有毒气体（如</w:t>
      </w:r>
      <w:r>
        <w:rPr>
          <w:rFonts w:ascii="宋体" w:hAnsi="宋体" w:cs="宋体"/>
          <w:color w:val="000000"/>
          <w:kern w:val="0"/>
          <w:sz w:val="28"/>
          <w:szCs w:val="28"/>
        </w:rPr>
        <w:t>H</w:t>
      </w:r>
      <w:r>
        <w:rPr>
          <w:rFonts w:ascii="宋体" w:hAnsi="宋体" w:cs="宋体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S</w:t>
      </w:r>
      <w:r>
        <w:rPr>
          <w:rFonts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Cl</w:t>
      </w:r>
      <w:r>
        <w:rPr>
          <w:rFonts w:ascii="宋体" w:hAnsi="宋体" w:cs="宋体"/>
          <w:color w:val="000000"/>
          <w:kern w:val="0"/>
          <w:sz w:val="28"/>
          <w:szCs w:val="28"/>
          <w:vertAlign w:val="subscript"/>
        </w:rPr>
        <w:t>2</w:t>
      </w:r>
      <w:r>
        <w:rPr>
          <w:rFonts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CO</w:t>
      </w:r>
      <w:r>
        <w:rPr>
          <w:rFonts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NO</w:t>
      </w:r>
      <w:r>
        <w:rPr>
          <w:rFonts w:ascii="宋体" w:hAnsi="宋体" w:cs="宋体"/>
          <w:color w:val="000000"/>
          <w:kern w:val="0"/>
          <w:sz w:val="28"/>
          <w:szCs w:val="28"/>
          <w:vertAlign w:val="subscript"/>
        </w:rPr>
        <w:t>2</w:t>
      </w:r>
      <w:r>
        <w:rPr>
          <w:rFonts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SO</w:t>
      </w:r>
      <w:r>
        <w:rPr>
          <w:rFonts w:ascii="宋体" w:hAnsi="宋体" w:cs="宋体"/>
          <w:color w:val="000000"/>
          <w:kern w:val="0"/>
          <w:sz w:val="28"/>
          <w:szCs w:val="28"/>
          <w:vertAlign w:val="subscript"/>
        </w:rPr>
        <w:t>2</w:t>
      </w:r>
      <w:r>
        <w:rPr>
          <w:rFonts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Br</w:t>
      </w:r>
      <w:r>
        <w:rPr>
          <w:rFonts w:ascii="宋体" w:hAnsi="宋体" w:cs="宋体"/>
          <w:color w:val="000000"/>
          <w:kern w:val="0"/>
          <w:sz w:val="28"/>
          <w:szCs w:val="28"/>
          <w:vertAlign w:val="subscript"/>
        </w:rPr>
        <w:t>2</w:t>
      </w:r>
      <w:r>
        <w:rPr>
          <w:rFonts w:cs="宋体" w:hint="eastAsia"/>
          <w:color w:val="000000"/>
          <w:kern w:val="0"/>
          <w:sz w:val="28"/>
          <w:szCs w:val="28"/>
        </w:rPr>
        <w:t>等）或进行能产生这些气体的反应；</w:t>
      </w:r>
    </w:p>
    <w:p w:rsid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cs="宋体" w:hint="eastAsia"/>
          <w:color w:val="000000"/>
          <w:kern w:val="0"/>
          <w:sz w:val="28"/>
          <w:szCs w:val="28"/>
        </w:rPr>
        <w:t>）进行能产生氟化氢（</w:t>
      </w:r>
      <w:r>
        <w:rPr>
          <w:rFonts w:ascii="宋体" w:hAnsi="宋体" w:cs="宋体"/>
          <w:color w:val="000000"/>
          <w:kern w:val="0"/>
          <w:sz w:val="28"/>
          <w:szCs w:val="28"/>
        </w:rPr>
        <w:t>HF</w:t>
      </w:r>
      <w:r>
        <w:rPr>
          <w:rFonts w:cs="宋体" w:hint="eastAsia"/>
          <w:color w:val="000000"/>
          <w:kern w:val="0"/>
          <w:sz w:val="28"/>
          <w:szCs w:val="28"/>
        </w:rPr>
        <w:t>）的反应；</w:t>
      </w:r>
    </w:p>
    <w:p w:rsidR="00B676FE" w:rsidRPr="00033C7A" w:rsidRDefault="00033C7A" w:rsidP="00033C7A">
      <w:pPr>
        <w:widowControl/>
        <w:spacing w:before="100" w:beforeAutospacing="1" w:after="100" w:afterAutospacing="1" w:line="480" w:lineRule="exact"/>
        <w:ind w:firstLineChars="200" w:firstLine="560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cs="宋体" w:hint="eastAsia"/>
          <w:color w:val="000000"/>
          <w:kern w:val="0"/>
          <w:sz w:val="28"/>
          <w:szCs w:val="28"/>
        </w:rPr>
        <w:t>）加热盐酸、硝酸和硫酸时。</w:t>
      </w:r>
      <w:bookmarkStart w:id="0" w:name="_GoBack"/>
      <w:bookmarkEnd w:id="0"/>
    </w:p>
    <w:sectPr w:rsidR="00B676FE" w:rsidRPr="00033C7A">
      <w:footerReference w:type="default" r:id="rId5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3C7A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97"/>
    <w:rsid w:val="00033C7A"/>
    <w:rsid w:val="002A2497"/>
    <w:rsid w:val="002E2652"/>
    <w:rsid w:val="0080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3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33C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3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33C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2024-04-07T08:44:00Z</dcterms:created>
  <dcterms:modified xsi:type="dcterms:W3CDTF">2024-04-07T08:44:00Z</dcterms:modified>
</cp:coreProperties>
</file>